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1B" w:rsidRDefault="00457349" w:rsidP="0059571B">
      <w:p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fldChar w:fldCharType="begin"/>
      </w:r>
      <w:r>
        <w:rPr>
          <w:rFonts w:ascii="Calibri" w:hAnsi="Calibri"/>
          <w:color w:val="000000"/>
          <w:sz w:val="24"/>
        </w:rPr>
        <w:instrText xml:space="preserve"> DATE \@ "MMMM d, yyyy" </w:instrText>
      </w:r>
      <w:r>
        <w:rPr>
          <w:rFonts w:ascii="Calibri" w:hAnsi="Calibri"/>
          <w:color w:val="000000"/>
          <w:sz w:val="24"/>
        </w:rPr>
        <w:fldChar w:fldCharType="separate"/>
      </w:r>
      <w:r w:rsidR="00370C41">
        <w:rPr>
          <w:rFonts w:ascii="Calibri" w:hAnsi="Calibri"/>
          <w:noProof/>
          <w:color w:val="000000"/>
          <w:sz w:val="24"/>
        </w:rPr>
        <w:t>June 30, 2016</w:t>
      </w:r>
      <w:r>
        <w:rPr>
          <w:rFonts w:ascii="Calibri" w:hAnsi="Calibri"/>
          <w:color w:val="000000"/>
          <w:sz w:val="24"/>
        </w:rPr>
        <w:fldChar w:fldCharType="end"/>
      </w:r>
    </w:p>
    <w:p w:rsidR="00457349" w:rsidRPr="00E75B9D" w:rsidRDefault="00457349" w:rsidP="0059571B">
      <w:pPr>
        <w:rPr>
          <w:rFonts w:ascii="Calibri" w:hAnsi="Calibri"/>
          <w:color w:val="000000"/>
          <w:sz w:val="24"/>
        </w:rPr>
      </w:pP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>MEMORANDUM</w:t>
      </w: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 xml:space="preserve">TO:             </w:t>
      </w:r>
      <w:r w:rsidRPr="00E75B9D">
        <w:rPr>
          <w:rFonts w:ascii="Calibri" w:hAnsi="Calibri"/>
          <w:color w:val="000000"/>
          <w:sz w:val="24"/>
        </w:rPr>
        <w:tab/>
        <w:t>College of Medicine Department Chairs &amp; Department Administrators</w:t>
      </w: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 xml:space="preserve">FROM:       </w:t>
      </w:r>
      <w:r w:rsidRPr="00E75B9D">
        <w:rPr>
          <w:rFonts w:ascii="Calibri" w:hAnsi="Calibri"/>
          <w:color w:val="000000"/>
          <w:sz w:val="24"/>
        </w:rPr>
        <w:tab/>
      </w:r>
      <w:r w:rsidR="00DB26B5">
        <w:rPr>
          <w:rFonts w:ascii="Calibri" w:hAnsi="Calibri"/>
          <w:color w:val="000000"/>
          <w:sz w:val="24"/>
        </w:rPr>
        <w:t>Jeremy Sibiski</w:t>
      </w:r>
      <w:r w:rsidRPr="00E75B9D">
        <w:rPr>
          <w:rFonts w:ascii="Calibri" w:hAnsi="Calibri"/>
          <w:color w:val="000000"/>
          <w:sz w:val="24"/>
        </w:rPr>
        <w:t xml:space="preserve"> </w:t>
      </w:r>
    </w:p>
    <w:p w:rsidR="0059571B" w:rsidRPr="00E75B9D" w:rsidRDefault="00DB26B5" w:rsidP="00A4285B">
      <w:pPr>
        <w:ind w:left="720" w:firstLine="72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Executive Director, Finance and Administration</w:t>
      </w:r>
      <w:r w:rsidR="0059571B" w:rsidRPr="00E75B9D">
        <w:rPr>
          <w:rFonts w:ascii="Calibri" w:hAnsi="Calibri"/>
          <w:color w:val="000000"/>
          <w:sz w:val="24"/>
        </w:rPr>
        <w:t xml:space="preserve"> </w:t>
      </w:r>
      <w:r w:rsidR="0059571B" w:rsidRPr="00E75B9D">
        <w:rPr>
          <w:rFonts w:ascii="Calibri" w:hAnsi="Calibri"/>
          <w:color w:val="000000"/>
          <w:sz w:val="24"/>
        </w:rPr>
        <w:tab/>
      </w:r>
      <w:r w:rsidR="0059571B" w:rsidRPr="00E75B9D">
        <w:rPr>
          <w:rFonts w:ascii="Calibri" w:hAnsi="Calibri"/>
          <w:color w:val="000000"/>
          <w:sz w:val="24"/>
        </w:rPr>
        <w:tab/>
      </w:r>
      <w:r w:rsidR="0059571B" w:rsidRPr="00E75B9D">
        <w:rPr>
          <w:rFonts w:ascii="Calibri" w:hAnsi="Calibri"/>
          <w:color w:val="000000"/>
          <w:sz w:val="24"/>
        </w:rPr>
        <w:tab/>
        <w:t xml:space="preserve"> </w:t>
      </w: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 xml:space="preserve">SUBJECT:  </w:t>
      </w:r>
      <w:r w:rsidRPr="00E75B9D">
        <w:rPr>
          <w:rFonts w:ascii="Calibri" w:hAnsi="Calibri"/>
          <w:color w:val="000000"/>
          <w:sz w:val="24"/>
        </w:rPr>
        <w:tab/>
        <w:t>Annual Faculty Evaluations</w:t>
      </w: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 xml:space="preserve">The following guidelines are to be used for completing the College of Medicine’s annual faculty evaluations for Academic Year </w:t>
      </w:r>
      <w:r w:rsidR="00F9770C">
        <w:rPr>
          <w:rFonts w:ascii="Calibri" w:hAnsi="Calibri"/>
          <w:color w:val="000000"/>
          <w:sz w:val="24"/>
        </w:rPr>
        <w:t>201</w:t>
      </w:r>
      <w:r w:rsidR="00457349">
        <w:rPr>
          <w:rFonts w:ascii="Calibri" w:hAnsi="Calibri"/>
          <w:color w:val="000000"/>
          <w:sz w:val="24"/>
        </w:rPr>
        <w:t>6</w:t>
      </w:r>
      <w:r w:rsidRPr="00E75B9D">
        <w:rPr>
          <w:rFonts w:ascii="Calibri" w:hAnsi="Calibri"/>
          <w:color w:val="000000"/>
          <w:sz w:val="24"/>
        </w:rPr>
        <w:t xml:space="preserve">.  </w:t>
      </w:r>
    </w:p>
    <w:p w:rsidR="00A4285B" w:rsidRPr="00E75B9D" w:rsidRDefault="00A4285B" w:rsidP="0059571B">
      <w:pPr>
        <w:rPr>
          <w:rFonts w:ascii="Calibri" w:hAnsi="Calibri"/>
          <w:color w:val="000000"/>
          <w:sz w:val="24"/>
        </w:rPr>
      </w:pPr>
    </w:p>
    <w:p w:rsidR="0059571B" w:rsidRPr="00E75B9D" w:rsidRDefault="0059571B" w:rsidP="00A4285B">
      <w:pPr>
        <w:pStyle w:val="ListParagraph"/>
        <w:numPr>
          <w:ilvl w:val="0"/>
          <w:numId w:val="12"/>
        </w:num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>The annual evaluation covers the period July 1, 201</w:t>
      </w:r>
      <w:r w:rsidR="00457349">
        <w:rPr>
          <w:rFonts w:ascii="Calibri" w:hAnsi="Calibri"/>
          <w:color w:val="000000"/>
          <w:sz w:val="24"/>
        </w:rPr>
        <w:t>5</w:t>
      </w:r>
      <w:r w:rsidRPr="00E75B9D">
        <w:rPr>
          <w:rFonts w:ascii="Calibri" w:hAnsi="Calibri"/>
          <w:color w:val="000000"/>
          <w:sz w:val="24"/>
        </w:rPr>
        <w:t xml:space="preserve"> through June 30, 201</w:t>
      </w:r>
      <w:r w:rsidR="00457349">
        <w:rPr>
          <w:rFonts w:ascii="Calibri" w:hAnsi="Calibri"/>
          <w:color w:val="000000"/>
          <w:sz w:val="24"/>
        </w:rPr>
        <w:t>6</w:t>
      </w:r>
      <w:r w:rsidRPr="00E75B9D">
        <w:rPr>
          <w:rFonts w:ascii="Calibri" w:hAnsi="Calibri"/>
          <w:color w:val="000000"/>
          <w:sz w:val="24"/>
        </w:rPr>
        <w:t>, and must be completed no later than August 31, 201</w:t>
      </w:r>
      <w:r w:rsidR="00457349">
        <w:rPr>
          <w:rFonts w:ascii="Calibri" w:hAnsi="Calibri"/>
          <w:color w:val="000000"/>
          <w:sz w:val="24"/>
        </w:rPr>
        <w:t>6</w:t>
      </w:r>
      <w:r w:rsidRPr="00E75B9D">
        <w:rPr>
          <w:rFonts w:ascii="Calibri" w:hAnsi="Calibri"/>
          <w:color w:val="000000"/>
          <w:sz w:val="24"/>
        </w:rPr>
        <w:t xml:space="preserve">.  </w:t>
      </w:r>
    </w:p>
    <w:p w:rsidR="003F018E" w:rsidRPr="00E75B9D" w:rsidRDefault="003F018E" w:rsidP="003F018E">
      <w:pPr>
        <w:pStyle w:val="ListParagraph"/>
        <w:rPr>
          <w:rFonts w:ascii="Calibri" w:hAnsi="Calibri"/>
          <w:color w:val="000000"/>
          <w:sz w:val="24"/>
        </w:rPr>
      </w:pPr>
    </w:p>
    <w:p w:rsidR="0059571B" w:rsidRPr="00E75B9D" w:rsidRDefault="0059571B" w:rsidP="00A4285B">
      <w:pPr>
        <w:pStyle w:val="ListParagraph"/>
        <w:numPr>
          <w:ilvl w:val="0"/>
          <w:numId w:val="12"/>
        </w:num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 xml:space="preserve">The </w:t>
      </w:r>
      <w:r w:rsidR="003F018E" w:rsidRPr="00E75B9D">
        <w:rPr>
          <w:rFonts w:ascii="Calibri" w:hAnsi="Calibri"/>
          <w:color w:val="000000"/>
          <w:sz w:val="24"/>
        </w:rPr>
        <w:t xml:space="preserve">evaluation </w:t>
      </w:r>
      <w:r w:rsidR="00E75B9D">
        <w:rPr>
          <w:rFonts w:ascii="Calibri" w:hAnsi="Calibri"/>
          <w:color w:val="000000"/>
          <w:sz w:val="24"/>
        </w:rPr>
        <w:t xml:space="preserve">is narrative in format and </w:t>
      </w:r>
      <w:r w:rsidR="00E51F8E">
        <w:rPr>
          <w:rFonts w:ascii="Calibri" w:hAnsi="Calibri"/>
          <w:color w:val="000000"/>
          <w:sz w:val="24"/>
        </w:rPr>
        <w:t xml:space="preserve">assesses </w:t>
      </w:r>
      <w:r w:rsidRPr="00E75B9D">
        <w:rPr>
          <w:rFonts w:ascii="Calibri" w:hAnsi="Calibri"/>
          <w:color w:val="000000"/>
          <w:sz w:val="24"/>
        </w:rPr>
        <w:t>the faculty member’s performance over the past year in each mission area for which the faculty member had an assignment</w:t>
      </w:r>
      <w:r w:rsidR="00E51F8E">
        <w:rPr>
          <w:rFonts w:ascii="Calibri" w:hAnsi="Calibri"/>
          <w:color w:val="000000"/>
          <w:sz w:val="24"/>
        </w:rPr>
        <w:t xml:space="preserve">.  </w:t>
      </w:r>
      <w:r w:rsidRPr="00E75B9D">
        <w:rPr>
          <w:rFonts w:ascii="Calibri" w:hAnsi="Calibri"/>
          <w:color w:val="000000"/>
          <w:sz w:val="24"/>
        </w:rPr>
        <w:t xml:space="preserve">  </w:t>
      </w: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</w:p>
    <w:p w:rsidR="0059571B" w:rsidRPr="00E75B9D" w:rsidRDefault="003F018E" w:rsidP="00092D8A">
      <w:pPr>
        <w:pStyle w:val="ListParagraph"/>
        <w:numPr>
          <w:ilvl w:val="0"/>
          <w:numId w:val="12"/>
        </w:num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>A performance rating is not assigned to each mission area.  Instead, a</w:t>
      </w:r>
      <w:r w:rsidR="0059571B" w:rsidRPr="00E75B9D">
        <w:rPr>
          <w:rFonts w:ascii="Calibri" w:hAnsi="Calibri"/>
          <w:color w:val="000000"/>
          <w:sz w:val="24"/>
        </w:rPr>
        <w:t xml:space="preserve">n overall performance rating should be assigned to the faculty member using one of the following categories:  </w:t>
      </w:r>
      <w:proofErr w:type="gramStart"/>
      <w:r w:rsidR="00092D8A" w:rsidRPr="00092D8A">
        <w:rPr>
          <w:rFonts w:ascii="Calibri" w:hAnsi="Calibri"/>
          <w:color w:val="000000"/>
          <w:sz w:val="24"/>
        </w:rPr>
        <w:t>outstanding</w:t>
      </w:r>
      <w:proofErr w:type="gramEnd"/>
      <w:r w:rsidR="00092D8A">
        <w:rPr>
          <w:rFonts w:ascii="Calibri" w:hAnsi="Calibri"/>
          <w:color w:val="000000"/>
          <w:sz w:val="24"/>
        </w:rPr>
        <w:t xml:space="preserve">, </w:t>
      </w:r>
      <w:r w:rsidR="00092D8A" w:rsidRPr="00092D8A">
        <w:rPr>
          <w:rFonts w:ascii="Calibri" w:hAnsi="Calibri"/>
          <w:color w:val="000000"/>
          <w:sz w:val="24"/>
        </w:rPr>
        <w:t>exceeds performance standard</w:t>
      </w:r>
      <w:r w:rsidR="00092D8A">
        <w:rPr>
          <w:rFonts w:ascii="Calibri" w:hAnsi="Calibri"/>
          <w:color w:val="000000"/>
          <w:sz w:val="24"/>
        </w:rPr>
        <w:t>s</w:t>
      </w:r>
      <w:r w:rsidR="00092D8A" w:rsidRPr="00092D8A">
        <w:rPr>
          <w:rFonts w:ascii="Calibri" w:hAnsi="Calibri"/>
          <w:color w:val="000000"/>
          <w:sz w:val="24"/>
        </w:rPr>
        <w:t>, achieves performance standard</w:t>
      </w:r>
      <w:r w:rsidR="00092D8A">
        <w:rPr>
          <w:rFonts w:ascii="Calibri" w:hAnsi="Calibri"/>
          <w:color w:val="000000"/>
          <w:sz w:val="24"/>
        </w:rPr>
        <w:t>s</w:t>
      </w:r>
      <w:r w:rsidR="00092D8A" w:rsidRPr="00092D8A">
        <w:rPr>
          <w:rFonts w:ascii="Calibri" w:hAnsi="Calibri"/>
          <w:color w:val="000000"/>
          <w:sz w:val="24"/>
        </w:rPr>
        <w:t>, below performance standard</w:t>
      </w:r>
      <w:r w:rsidR="00092D8A">
        <w:rPr>
          <w:rFonts w:ascii="Calibri" w:hAnsi="Calibri"/>
          <w:color w:val="000000"/>
          <w:sz w:val="24"/>
        </w:rPr>
        <w:t>s,</w:t>
      </w:r>
      <w:r w:rsidR="00092D8A" w:rsidRPr="00092D8A">
        <w:rPr>
          <w:rFonts w:ascii="Calibri" w:hAnsi="Calibri"/>
          <w:color w:val="000000"/>
          <w:sz w:val="24"/>
        </w:rPr>
        <w:t xml:space="preserve"> or unsatisfactory.  </w:t>
      </w:r>
      <w:r w:rsidR="0059571B" w:rsidRPr="00E75B9D">
        <w:rPr>
          <w:rFonts w:ascii="Calibri" w:hAnsi="Calibri"/>
          <w:color w:val="000000"/>
          <w:sz w:val="24"/>
        </w:rPr>
        <w:t xml:space="preserve">  </w:t>
      </w: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</w:p>
    <w:p w:rsidR="0059571B" w:rsidRPr="00E75B9D" w:rsidRDefault="0059571B" w:rsidP="00A4285B">
      <w:pPr>
        <w:pStyle w:val="ListParagraph"/>
        <w:numPr>
          <w:ilvl w:val="0"/>
          <w:numId w:val="12"/>
        </w:num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 xml:space="preserve">Numerical ratings are not to be </w:t>
      </w:r>
      <w:r w:rsidR="00092D8A">
        <w:rPr>
          <w:rFonts w:ascii="Calibri" w:hAnsi="Calibri"/>
          <w:color w:val="000000"/>
          <w:sz w:val="24"/>
        </w:rPr>
        <w:t xml:space="preserve">included </w:t>
      </w:r>
      <w:r w:rsidRPr="00E75B9D">
        <w:rPr>
          <w:rFonts w:ascii="Calibri" w:hAnsi="Calibri"/>
          <w:color w:val="000000"/>
          <w:sz w:val="24"/>
        </w:rPr>
        <w:t xml:space="preserve">in the evaluation.   </w:t>
      </w:r>
    </w:p>
    <w:p w:rsidR="00C44443" w:rsidRDefault="00C44443" w:rsidP="00C44443">
      <w:pPr>
        <w:pStyle w:val="ListParagraph"/>
        <w:rPr>
          <w:rFonts w:ascii="Calibri" w:hAnsi="Calibri"/>
          <w:color w:val="000000"/>
          <w:sz w:val="24"/>
        </w:rPr>
      </w:pPr>
    </w:p>
    <w:p w:rsidR="003F018E" w:rsidRPr="00DC6C3F" w:rsidRDefault="0059571B" w:rsidP="00981D36">
      <w:pPr>
        <w:pStyle w:val="ListParagraph"/>
        <w:numPr>
          <w:ilvl w:val="0"/>
          <w:numId w:val="12"/>
        </w:numPr>
        <w:rPr>
          <w:rFonts w:ascii="Calibri" w:hAnsi="Calibri"/>
          <w:color w:val="000000"/>
          <w:sz w:val="22"/>
          <w:szCs w:val="22"/>
        </w:rPr>
      </w:pPr>
      <w:r w:rsidRPr="00DC6C3F">
        <w:rPr>
          <w:rFonts w:ascii="Calibri" w:hAnsi="Calibri"/>
          <w:color w:val="000000"/>
          <w:sz w:val="24"/>
        </w:rPr>
        <w:t xml:space="preserve">The evaluation </w:t>
      </w:r>
      <w:r w:rsidR="00DC6C3F" w:rsidRPr="00DC6C3F">
        <w:rPr>
          <w:rFonts w:ascii="Calibri" w:hAnsi="Calibri"/>
          <w:color w:val="000000"/>
          <w:sz w:val="24"/>
        </w:rPr>
        <w:t xml:space="preserve">must </w:t>
      </w:r>
      <w:r w:rsidRPr="00DC6C3F">
        <w:rPr>
          <w:rFonts w:ascii="Calibri" w:hAnsi="Calibri"/>
          <w:color w:val="000000"/>
          <w:sz w:val="24"/>
        </w:rPr>
        <w:t xml:space="preserve">include the following chart that documents the faculty member’s proposed assignment and the associated percent </w:t>
      </w:r>
      <w:r w:rsidR="00457349" w:rsidRPr="00DC6C3F">
        <w:rPr>
          <w:rFonts w:ascii="Calibri" w:hAnsi="Calibri"/>
          <w:color w:val="000000"/>
          <w:sz w:val="24"/>
        </w:rPr>
        <w:t>of effort for Academic Year 2016</w:t>
      </w:r>
      <w:r w:rsidRPr="00DC6C3F">
        <w:rPr>
          <w:rFonts w:ascii="Calibri" w:hAnsi="Calibri"/>
          <w:color w:val="000000"/>
          <w:sz w:val="24"/>
        </w:rPr>
        <w:t>-201</w:t>
      </w:r>
      <w:r w:rsidR="00457349" w:rsidRPr="00DC6C3F">
        <w:rPr>
          <w:rFonts w:ascii="Calibri" w:hAnsi="Calibri"/>
          <w:color w:val="000000"/>
          <w:sz w:val="24"/>
        </w:rPr>
        <w:t>7</w:t>
      </w:r>
      <w:r w:rsidRPr="00DC6C3F">
        <w:rPr>
          <w:rFonts w:ascii="Calibri" w:hAnsi="Calibri"/>
          <w:color w:val="000000"/>
          <w:sz w:val="24"/>
        </w:rPr>
        <w:t xml:space="preserve">.  The proposed assignment must total 100% regardless of the faculty member’s FTE.  </w:t>
      </w:r>
      <w:r w:rsidR="00DC6C3F" w:rsidRPr="00DC6C3F">
        <w:rPr>
          <w:rFonts w:ascii="Calibri" w:hAnsi="Calibri"/>
          <w:color w:val="000000"/>
          <w:sz w:val="24"/>
        </w:rPr>
        <w:t>Departments should complete the assignment chart through Hyperion as indicated in the Faculty Compensation Plan Time Line (attached) which can then be either copied into the individual’s evaluation</w:t>
      </w:r>
      <w:r w:rsidR="00343279">
        <w:rPr>
          <w:rFonts w:ascii="Calibri" w:hAnsi="Calibri"/>
          <w:color w:val="000000"/>
          <w:sz w:val="24"/>
        </w:rPr>
        <w:t>,</w:t>
      </w:r>
      <w:r w:rsidR="00DC6C3F" w:rsidRPr="00DC6C3F">
        <w:rPr>
          <w:rFonts w:ascii="Calibri" w:hAnsi="Calibri"/>
          <w:color w:val="000000"/>
          <w:sz w:val="24"/>
        </w:rPr>
        <w:t xml:space="preserve"> or printed and attached.  To access the chart for printing/copying, use Hyperion and navigate to </w:t>
      </w:r>
      <w:proofErr w:type="spellStart"/>
      <w:r w:rsidR="00DC6C3F" w:rsidRPr="00DC6C3F">
        <w:rPr>
          <w:rFonts w:ascii="Calibri" w:hAnsi="Calibri"/>
          <w:color w:val="000000"/>
          <w:sz w:val="24"/>
        </w:rPr>
        <w:t>CompPlan</w:t>
      </w:r>
      <w:proofErr w:type="spellEnd"/>
      <w:r w:rsidR="00DC6C3F" w:rsidRPr="00DC6C3F">
        <w:rPr>
          <w:rFonts w:ascii="Calibri" w:hAnsi="Calibri"/>
          <w:color w:val="000000"/>
          <w:sz w:val="24"/>
        </w:rPr>
        <w:t xml:space="preserve"> Reports/Incentive Input/Mission Summary</w:t>
      </w:r>
      <w:r w:rsidR="007304D2">
        <w:rPr>
          <w:rFonts w:ascii="Calibri" w:hAnsi="Calibri"/>
          <w:color w:val="000000"/>
          <w:sz w:val="24"/>
        </w:rPr>
        <w:t xml:space="preserve"> by Faculty</w:t>
      </w:r>
      <w:r w:rsidR="00DC6C3F" w:rsidRPr="00DC6C3F">
        <w:rPr>
          <w:rFonts w:ascii="Calibri" w:hAnsi="Calibri"/>
          <w:color w:val="000000"/>
          <w:sz w:val="24"/>
        </w:rPr>
        <w:t xml:space="preserve">.  You can choose to access the entire department by using the appropriate department ID or access individually by entering: UFID XXXXXXXX. </w:t>
      </w:r>
      <w:r w:rsidR="00DE029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5017770</wp:posOffset>
            </wp:positionH>
            <wp:positionV relativeFrom="margin">
              <wp:posOffset>7101205</wp:posOffset>
            </wp:positionV>
            <wp:extent cx="970154" cy="761939"/>
            <wp:effectExtent l="0" t="0" r="190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0t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54" cy="761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18E" w:rsidRDefault="003F018E" w:rsidP="003F018E">
      <w:pPr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3F018E" w:rsidRDefault="003F018E" w:rsidP="003F018E">
      <w:pPr>
        <w:rPr>
          <w:rFonts w:ascii="Calibri" w:hAnsi="Calibri"/>
          <w:color w:val="000000"/>
          <w:sz w:val="22"/>
          <w:szCs w:val="22"/>
        </w:rPr>
      </w:pPr>
    </w:p>
    <w:tbl>
      <w:tblPr>
        <w:tblW w:w="6285" w:type="dxa"/>
        <w:tblInd w:w="1176" w:type="dxa"/>
        <w:tblLook w:val="04A0" w:firstRow="1" w:lastRow="0" w:firstColumn="1" w:lastColumn="0" w:noHBand="0" w:noVBand="1"/>
      </w:tblPr>
      <w:tblGrid>
        <w:gridCol w:w="2507"/>
        <w:gridCol w:w="2603"/>
        <w:gridCol w:w="1175"/>
      </w:tblGrid>
      <w:tr w:rsidR="00452627" w:rsidRPr="00452627" w:rsidTr="00704E6B">
        <w:trPr>
          <w:trHeight w:val="882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27" w:rsidRPr="00452627" w:rsidRDefault="00452627" w:rsidP="0045262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52627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Mission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27" w:rsidRPr="00452627" w:rsidRDefault="00452627" w:rsidP="0045262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52627">
              <w:rPr>
                <w:rFonts w:ascii="Calibri" w:hAnsi="Calibri"/>
                <w:b/>
                <w:bCs/>
                <w:sz w:val="28"/>
                <w:szCs w:val="28"/>
              </w:rPr>
              <w:t>Assignment Percent</w:t>
            </w:r>
          </w:p>
        </w:tc>
      </w:tr>
      <w:tr w:rsidR="00452627" w:rsidRPr="00452627" w:rsidTr="00704E6B">
        <w:trPr>
          <w:trHeight w:val="33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Education (non-clinical)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(___ %)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52627" w:rsidRPr="00452627" w:rsidRDefault="00452627" w:rsidP="004526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2627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452627" w:rsidRPr="00452627" w:rsidTr="00704E6B">
        <w:trPr>
          <w:trHeight w:val="33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Clinical Education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(___ %)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52627" w:rsidRPr="00452627" w:rsidRDefault="00452627" w:rsidP="004526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2627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452627" w:rsidRPr="00452627" w:rsidTr="00704E6B">
        <w:trPr>
          <w:trHeight w:val="33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 xml:space="preserve">     Total Education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2627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2627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452627" w:rsidRPr="00452627" w:rsidTr="00704E6B">
        <w:trPr>
          <w:trHeight w:val="33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Research 1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2627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2627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452627" w:rsidRPr="00452627" w:rsidTr="00704E6B">
        <w:trPr>
          <w:trHeight w:val="33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 xml:space="preserve">Research 2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2627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2627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452627" w:rsidRPr="00452627" w:rsidTr="00704E6B">
        <w:trPr>
          <w:trHeight w:val="33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Administration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2627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2627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452627" w:rsidRPr="00452627" w:rsidTr="00704E6B">
        <w:trPr>
          <w:trHeight w:val="33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Clinical Services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2627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2627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452627" w:rsidRPr="00452627" w:rsidTr="00704E6B">
        <w:trPr>
          <w:trHeight w:val="33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Veterans Administration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2627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52627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452627" w:rsidRPr="00452627" w:rsidTr="00704E6B">
        <w:trPr>
          <w:trHeight w:val="334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27" w:rsidRPr="00452627" w:rsidRDefault="00452627" w:rsidP="004526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rPr>
                <w:rFonts w:ascii="Times New Roman" w:hAnsi="Times New Roman"/>
                <w:szCs w:val="20"/>
              </w:rPr>
            </w:pPr>
          </w:p>
        </w:tc>
      </w:tr>
      <w:tr w:rsidR="00452627" w:rsidRPr="00452627" w:rsidTr="00704E6B">
        <w:trPr>
          <w:trHeight w:val="796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52627">
              <w:rPr>
                <w:rFonts w:ascii="Calibri" w:hAnsi="Calibri"/>
                <w:b/>
                <w:bCs/>
                <w:sz w:val="28"/>
                <w:szCs w:val="28"/>
              </w:rPr>
              <w:t xml:space="preserve">VA Mission                            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627" w:rsidRPr="00452627" w:rsidRDefault="00452627" w:rsidP="0045262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52627">
              <w:rPr>
                <w:rFonts w:ascii="Calibri" w:hAnsi="Calibri"/>
                <w:b/>
                <w:bCs/>
                <w:sz w:val="28"/>
                <w:szCs w:val="28"/>
              </w:rPr>
              <w:t>Assignment Percent</w:t>
            </w:r>
          </w:p>
        </w:tc>
      </w:tr>
      <w:tr w:rsidR="00452627" w:rsidRPr="00452627" w:rsidTr="00704E6B">
        <w:trPr>
          <w:trHeight w:val="33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Education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52627" w:rsidRPr="00452627" w:rsidRDefault="00452627" w:rsidP="004526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2627" w:rsidRPr="00452627" w:rsidTr="00704E6B">
        <w:trPr>
          <w:trHeight w:val="33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Research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52627" w:rsidRPr="00452627" w:rsidRDefault="00452627" w:rsidP="004526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2627" w:rsidRPr="00452627" w:rsidTr="00704E6B">
        <w:trPr>
          <w:trHeight w:val="33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Administration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52627" w:rsidRPr="00452627" w:rsidRDefault="00452627" w:rsidP="004526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52627" w:rsidRPr="00452627" w:rsidTr="00704E6B">
        <w:trPr>
          <w:trHeight w:val="33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627" w:rsidRPr="00452627" w:rsidRDefault="00452627" w:rsidP="00452627">
            <w:pPr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Clinical Services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627" w:rsidRPr="00452627" w:rsidRDefault="00452627" w:rsidP="004526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52627" w:rsidRPr="00452627" w:rsidRDefault="00452627" w:rsidP="004526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262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452627" w:rsidRDefault="00452627" w:rsidP="00452627">
      <w:pPr>
        <w:pStyle w:val="ListParagraph"/>
        <w:rPr>
          <w:rFonts w:ascii="Calibri" w:hAnsi="Calibri"/>
          <w:color w:val="000000"/>
          <w:sz w:val="24"/>
        </w:rPr>
      </w:pPr>
    </w:p>
    <w:p w:rsidR="00452627" w:rsidRDefault="00452627" w:rsidP="00452627">
      <w:pPr>
        <w:pStyle w:val="ListParagraph"/>
        <w:rPr>
          <w:rFonts w:ascii="Calibri" w:hAnsi="Calibri"/>
          <w:color w:val="000000"/>
          <w:sz w:val="24"/>
        </w:rPr>
      </w:pPr>
    </w:p>
    <w:p w:rsidR="0059571B" w:rsidRDefault="003F018E" w:rsidP="00A4285B">
      <w:pPr>
        <w:pStyle w:val="ListParagraph"/>
        <w:numPr>
          <w:ilvl w:val="0"/>
          <w:numId w:val="12"/>
        </w:num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>T</w:t>
      </w:r>
      <w:r w:rsidR="0059571B" w:rsidRPr="00E75B9D">
        <w:rPr>
          <w:rFonts w:ascii="Calibri" w:hAnsi="Calibri"/>
          <w:color w:val="000000"/>
          <w:sz w:val="24"/>
        </w:rPr>
        <w:t>he following introductory sentence should be used</w:t>
      </w:r>
      <w:r w:rsidR="00E75B9D">
        <w:rPr>
          <w:rFonts w:ascii="Calibri" w:hAnsi="Calibri"/>
          <w:color w:val="000000"/>
          <w:sz w:val="24"/>
        </w:rPr>
        <w:t xml:space="preserve"> in the evaluation</w:t>
      </w:r>
      <w:r w:rsidR="0059571B" w:rsidRPr="00E75B9D">
        <w:rPr>
          <w:rFonts w:ascii="Calibri" w:hAnsi="Calibri"/>
          <w:color w:val="000000"/>
          <w:sz w:val="24"/>
        </w:rPr>
        <w:t>:  “</w:t>
      </w:r>
      <w:r w:rsidR="00092D8A">
        <w:rPr>
          <w:rFonts w:ascii="Calibri" w:hAnsi="Calibri"/>
          <w:color w:val="000000"/>
          <w:sz w:val="24"/>
        </w:rPr>
        <w:t xml:space="preserve">This </w:t>
      </w:r>
      <w:r w:rsidR="0059571B" w:rsidRPr="00E75B9D">
        <w:rPr>
          <w:rFonts w:ascii="Calibri" w:hAnsi="Calibri"/>
          <w:color w:val="000000"/>
          <w:sz w:val="24"/>
        </w:rPr>
        <w:t xml:space="preserve">letter serves to evaluate your performance as </w:t>
      </w:r>
      <w:r w:rsidR="0059571B" w:rsidRPr="00092D8A">
        <w:rPr>
          <w:rFonts w:ascii="Calibri" w:hAnsi="Calibri"/>
          <w:color w:val="000000"/>
          <w:sz w:val="24"/>
          <w:u w:val="single"/>
        </w:rPr>
        <w:t>(faculty title)</w:t>
      </w:r>
      <w:r w:rsidR="0059571B" w:rsidRPr="00E75B9D">
        <w:rPr>
          <w:rFonts w:ascii="Calibri" w:hAnsi="Calibri"/>
          <w:color w:val="000000"/>
          <w:sz w:val="24"/>
        </w:rPr>
        <w:t xml:space="preserve"> for the period July 1, 201</w:t>
      </w:r>
      <w:r w:rsidR="00457349">
        <w:rPr>
          <w:rFonts w:ascii="Calibri" w:hAnsi="Calibri"/>
          <w:color w:val="000000"/>
          <w:sz w:val="24"/>
        </w:rPr>
        <w:t>5</w:t>
      </w:r>
      <w:r w:rsidR="0059571B" w:rsidRPr="00E75B9D">
        <w:rPr>
          <w:rFonts w:ascii="Calibri" w:hAnsi="Calibri"/>
          <w:color w:val="000000"/>
          <w:sz w:val="24"/>
        </w:rPr>
        <w:t xml:space="preserve"> through June 30, 201</w:t>
      </w:r>
      <w:r w:rsidR="00457349">
        <w:rPr>
          <w:rFonts w:ascii="Calibri" w:hAnsi="Calibri"/>
          <w:color w:val="000000"/>
          <w:sz w:val="24"/>
        </w:rPr>
        <w:t>6</w:t>
      </w:r>
      <w:r w:rsidR="0059571B" w:rsidRPr="00E75B9D">
        <w:rPr>
          <w:rFonts w:ascii="Calibri" w:hAnsi="Calibri"/>
          <w:color w:val="000000"/>
          <w:sz w:val="24"/>
        </w:rPr>
        <w:t>.”</w:t>
      </w:r>
    </w:p>
    <w:p w:rsidR="00E75B9D" w:rsidRPr="00E75B9D" w:rsidRDefault="00E75B9D" w:rsidP="00E75B9D">
      <w:pPr>
        <w:pStyle w:val="ListParagraph"/>
        <w:rPr>
          <w:rFonts w:ascii="Calibri" w:hAnsi="Calibri"/>
          <w:color w:val="000000"/>
          <w:sz w:val="24"/>
        </w:rPr>
      </w:pPr>
    </w:p>
    <w:p w:rsidR="0059571B" w:rsidRPr="00E75B9D" w:rsidRDefault="0059571B" w:rsidP="00A4285B">
      <w:pPr>
        <w:pStyle w:val="ListParagraph"/>
        <w:numPr>
          <w:ilvl w:val="0"/>
          <w:numId w:val="12"/>
        </w:num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 xml:space="preserve">The </w:t>
      </w:r>
      <w:r w:rsidR="00E75B9D">
        <w:rPr>
          <w:rFonts w:ascii="Calibri" w:hAnsi="Calibri"/>
          <w:color w:val="000000"/>
          <w:sz w:val="24"/>
        </w:rPr>
        <w:t xml:space="preserve">evaluation includes a signature line for the </w:t>
      </w:r>
      <w:r w:rsidRPr="00E75B9D">
        <w:rPr>
          <w:rFonts w:ascii="Calibri" w:hAnsi="Calibri"/>
          <w:color w:val="000000"/>
          <w:sz w:val="24"/>
        </w:rPr>
        <w:t xml:space="preserve">faculty member </w:t>
      </w:r>
      <w:r w:rsidR="00E75B9D">
        <w:rPr>
          <w:rFonts w:ascii="Calibri" w:hAnsi="Calibri"/>
          <w:color w:val="000000"/>
          <w:sz w:val="24"/>
        </w:rPr>
        <w:t xml:space="preserve">to </w:t>
      </w:r>
      <w:r w:rsidRPr="00E75B9D">
        <w:rPr>
          <w:rFonts w:ascii="Calibri" w:hAnsi="Calibri"/>
          <w:color w:val="000000"/>
          <w:sz w:val="24"/>
        </w:rPr>
        <w:t>acknowledge receipt of the evaluation</w:t>
      </w:r>
      <w:r w:rsidR="00E75B9D">
        <w:rPr>
          <w:rFonts w:ascii="Calibri" w:hAnsi="Calibri"/>
          <w:color w:val="000000"/>
          <w:sz w:val="24"/>
        </w:rPr>
        <w:t xml:space="preserve">.  </w:t>
      </w:r>
      <w:r w:rsidRPr="00E75B9D">
        <w:rPr>
          <w:rFonts w:ascii="Calibri" w:hAnsi="Calibri"/>
          <w:color w:val="000000"/>
          <w:sz w:val="24"/>
        </w:rPr>
        <w:t xml:space="preserve">    </w:t>
      </w: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</w:p>
    <w:p w:rsidR="0059571B" w:rsidRPr="00E75B9D" w:rsidRDefault="0059571B" w:rsidP="00A4285B">
      <w:pPr>
        <w:pStyle w:val="ListParagraph"/>
        <w:numPr>
          <w:ilvl w:val="0"/>
          <w:numId w:val="12"/>
        </w:num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 xml:space="preserve">If a department representative other than the department chair completes the evaluation, the department chair should co-sign the evaluation.  </w:t>
      </w:r>
    </w:p>
    <w:p w:rsidR="00C44443" w:rsidRDefault="00C44443" w:rsidP="00C44443">
      <w:pPr>
        <w:pStyle w:val="ListParagraph"/>
        <w:rPr>
          <w:rFonts w:ascii="Calibri" w:hAnsi="Calibri"/>
          <w:color w:val="000000"/>
          <w:sz w:val="24"/>
        </w:rPr>
      </w:pPr>
    </w:p>
    <w:p w:rsidR="00C44443" w:rsidRDefault="00C44443" w:rsidP="00C44443">
      <w:pPr>
        <w:pStyle w:val="ListParagraph"/>
        <w:numPr>
          <w:ilvl w:val="0"/>
          <w:numId w:val="12"/>
        </w:num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 xml:space="preserve">The faculty member’s UF ID# must be included </w:t>
      </w:r>
      <w:r w:rsidR="00DB26B5">
        <w:rPr>
          <w:rFonts w:ascii="Calibri" w:hAnsi="Calibri"/>
          <w:color w:val="000000"/>
          <w:sz w:val="24"/>
        </w:rPr>
        <w:t xml:space="preserve">after the employee name on each page </w:t>
      </w:r>
      <w:r w:rsidR="00DB26B5" w:rsidRPr="00E75B9D">
        <w:rPr>
          <w:rFonts w:ascii="Calibri" w:hAnsi="Calibri"/>
          <w:color w:val="000000"/>
          <w:sz w:val="24"/>
        </w:rPr>
        <w:t>o</w:t>
      </w:r>
      <w:r w:rsidR="00DB26B5">
        <w:rPr>
          <w:rFonts w:ascii="Calibri" w:hAnsi="Calibri"/>
          <w:color w:val="000000"/>
          <w:sz w:val="24"/>
        </w:rPr>
        <w:t xml:space="preserve">f </w:t>
      </w:r>
      <w:r w:rsidR="00DB26B5" w:rsidRPr="00E75B9D">
        <w:rPr>
          <w:rFonts w:ascii="Calibri" w:hAnsi="Calibri"/>
          <w:color w:val="000000"/>
          <w:sz w:val="24"/>
        </w:rPr>
        <w:t>the evaluation</w:t>
      </w:r>
      <w:r w:rsidRPr="00E75B9D">
        <w:rPr>
          <w:rFonts w:ascii="Calibri" w:hAnsi="Calibri"/>
          <w:color w:val="000000"/>
          <w:sz w:val="24"/>
        </w:rPr>
        <w:t xml:space="preserve">.   </w:t>
      </w:r>
    </w:p>
    <w:p w:rsidR="00E6545C" w:rsidRPr="00E6545C" w:rsidRDefault="00E6545C" w:rsidP="00E6545C">
      <w:pPr>
        <w:pStyle w:val="ListParagraph"/>
        <w:rPr>
          <w:rFonts w:ascii="Calibri" w:hAnsi="Calibri"/>
          <w:color w:val="000000"/>
          <w:sz w:val="24"/>
        </w:rPr>
      </w:pPr>
    </w:p>
    <w:p w:rsidR="00E51F8E" w:rsidRPr="00E51F8E" w:rsidRDefault="00E51F8E" w:rsidP="00E51F8E">
      <w:pPr>
        <w:pStyle w:val="ListParagraph"/>
        <w:numPr>
          <w:ilvl w:val="0"/>
          <w:numId w:val="12"/>
        </w:numPr>
        <w:rPr>
          <w:rFonts w:ascii="Calibri" w:hAnsi="Calibri"/>
          <w:color w:val="000000"/>
          <w:sz w:val="24"/>
        </w:rPr>
      </w:pPr>
      <w:r w:rsidRPr="00E51F8E">
        <w:rPr>
          <w:rFonts w:ascii="Calibri" w:hAnsi="Calibri"/>
          <w:color w:val="000000"/>
          <w:sz w:val="24"/>
        </w:rPr>
        <w:t xml:space="preserve">Faculty covered by the College of Medicine's faculty compensation plan receive a separate annual compensation plan assessment, which is not to be included as part of the </w:t>
      </w:r>
      <w:r w:rsidR="00C44443">
        <w:rPr>
          <w:rFonts w:ascii="Calibri" w:hAnsi="Calibri"/>
          <w:color w:val="000000"/>
          <w:sz w:val="24"/>
        </w:rPr>
        <w:t xml:space="preserve">written </w:t>
      </w:r>
      <w:r w:rsidRPr="00E51F8E">
        <w:rPr>
          <w:rFonts w:ascii="Calibri" w:hAnsi="Calibri"/>
          <w:color w:val="000000"/>
          <w:sz w:val="24"/>
        </w:rPr>
        <w:t xml:space="preserve">faculty evaluation.  </w:t>
      </w:r>
      <w:r w:rsidR="005A1BD9">
        <w:rPr>
          <w:rFonts w:ascii="Calibri" w:hAnsi="Calibri"/>
          <w:color w:val="000000"/>
          <w:sz w:val="24"/>
        </w:rPr>
        <w:t>Information</w:t>
      </w:r>
      <w:r w:rsidRPr="00E51F8E">
        <w:rPr>
          <w:rFonts w:ascii="Calibri" w:hAnsi="Calibri"/>
          <w:color w:val="000000"/>
          <w:sz w:val="24"/>
        </w:rPr>
        <w:t xml:space="preserve"> will </w:t>
      </w:r>
      <w:r w:rsidR="005A1BD9">
        <w:rPr>
          <w:rFonts w:ascii="Calibri" w:hAnsi="Calibri"/>
          <w:color w:val="000000"/>
          <w:sz w:val="24"/>
        </w:rPr>
        <w:t xml:space="preserve">be </w:t>
      </w:r>
      <w:r w:rsidRPr="00E51F8E">
        <w:rPr>
          <w:rFonts w:ascii="Calibri" w:hAnsi="Calibri"/>
          <w:color w:val="000000"/>
          <w:sz w:val="24"/>
        </w:rPr>
        <w:t>provide</w:t>
      </w:r>
      <w:r w:rsidR="005A1BD9">
        <w:rPr>
          <w:rFonts w:ascii="Calibri" w:hAnsi="Calibri"/>
          <w:color w:val="000000"/>
          <w:sz w:val="24"/>
        </w:rPr>
        <w:t xml:space="preserve">d </w:t>
      </w:r>
      <w:r w:rsidR="003C6E9F">
        <w:rPr>
          <w:rFonts w:ascii="Calibri" w:hAnsi="Calibri"/>
          <w:color w:val="000000"/>
          <w:sz w:val="24"/>
        </w:rPr>
        <w:t xml:space="preserve">separately </w:t>
      </w:r>
      <w:r w:rsidRPr="00E51F8E">
        <w:rPr>
          <w:rFonts w:ascii="Calibri" w:hAnsi="Calibri"/>
          <w:color w:val="000000"/>
          <w:sz w:val="24"/>
        </w:rPr>
        <w:t>to departments regarding how to access the faculty compensation plan assessment</w:t>
      </w:r>
      <w:r w:rsidR="00092D8A">
        <w:rPr>
          <w:rFonts w:ascii="Calibri" w:hAnsi="Calibri"/>
          <w:color w:val="000000"/>
          <w:sz w:val="24"/>
        </w:rPr>
        <w:t xml:space="preserve"> system.</w:t>
      </w:r>
      <w:r w:rsidRPr="00E51F8E">
        <w:rPr>
          <w:rFonts w:ascii="Calibri" w:hAnsi="Calibri"/>
          <w:color w:val="000000"/>
          <w:sz w:val="24"/>
        </w:rPr>
        <w:t xml:space="preserve">   </w:t>
      </w: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</w:p>
    <w:p w:rsidR="00DD122C" w:rsidRDefault="00DD122C" w:rsidP="0059571B">
      <w:pPr>
        <w:rPr>
          <w:rFonts w:ascii="Calibri" w:hAnsi="Calibri"/>
          <w:color w:val="000000"/>
          <w:sz w:val="24"/>
        </w:rPr>
      </w:pPr>
    </w:p>
    <w:p w:rsidR="00DD122C" w:rsidRDefault="00DD122C" w:rsidP="0059571B">
      <w:pPr>
        <w:rPr>
          <w:rFonts w:ascii="Calibri" w:hAnsi="Calibri"/>
          <w:color w:val="000000"/>
          <w:sz w:val="24"/>
        </w:rPr>
      </w:pPr>
    </w:p>
    <w:p w:rsidR="00DD122C" w:rsidRDefault="00DD122C" w:rsidP="0059571B">
      <w:pPr>
        <w:rPr>
          <w:rFonts w:ascii="Calibri" w:hAnsi="Calibri"/>
          <w:color w:val="000000"/>
          <w:sz w:val="24"/>
        </w:rPr>
      </w:pP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 xml:space="preserve">Completed and signed faculty evaluations should be scanned to Ms. Vicki Bordeaux at </w:t>
      </w:r>
      <w:hyperlink r:id="rId8" w:history="1">
        <w:r w:rsidR="00E75B9D" w:rsidRPr="000045E5">
          <w:rPr>
            <w:rStyle w:val="Hyperlink"/>
            <w:rFonts w:ascii="Calibri" w:hAnsi="Calibri"/>
            <w:sz w:val="24"/>
          </w:rPr>
          <w:t>vbordeaux@ufl.edu</w:t>
        </w:r>
      </w:hyperlink>
      <w:r w:rsidRPr="00E75B9D">
        <w:rPr>
          <w:rFonts w:ascii="Calibri" w:hAnsi="Calibri"/>
          <w:color w:val="000000"/>
          <w:sz w:val="24"/>
        </w:rPr>
        <w:t>.</w:t>
      </w:r>
      <w:r w:rsidR="00E75B9D">
        <w:rPr>
          <w:rFonts w:ascii="Calibri" w:hAnsi="Calibri"/>
          <w:color w:val="000000"/>
          <w:sz w:val="24"/>
        </w:rPr>
        <w:t xml:space="preserve">  </w:t>
      </w:r>
      <w:r w:rsidRPr="00E75B9D">
        <w:rPr>
          <w:rFonts w:ascii="Calibri" w:hAnsi="Calibri"/>
          <w:color w:val="000000"/>
          <w:sz w:val="24"/>
        </w:rPr>
        <w:t xml:space="preserve">Should you have any questions, please contact Ms. Nelda Loper or me.  </w:t>
      </w:r>
    </w:p>
    <w:p w:rsidR="0059571B" w:rsidRPr="00E75B9D" w:rsidRDefault="0059571B" w:rsidP="0059571B">
      <w:pPr>
        <w:rPr>
          <w:rFonts w:ascii="Calibri" w:hAnsi="Calibri"/>
          <w:color w:val="000000"/>
          <w:sz w:val="24"/>
        </w:rPr>
      </w:pPr>
    </w:p>
    <w:p w:rsidR="00A4285B" w:rsidRPr="00E75B9D" w:rsidRDefault="0059571B" w:rsidP="00E75B9D">
      <w:p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 xml:space="preserve">cc:  </w:t>
      </w:r>
      <w:r w:rsidRPr="00E75B9D">
        <w:rPr>
          <w:rFonts w:ascii="Calibri" w:hAnsi="Calibri"/>
          <w:color w:val="000000"/>
          <w:sz w:val="24"/>
        </w:rPr>
        <w:tab/>
        <w:t xml:space="preserve">Michael L. Good, M.D.  </w:t>
      </w:r>
      <w:r w:rsidRPr="00E75B9D">
        <w:rPr>
          <w:rFonts w:ascii="Calibri" w:hAnsi="Calibri"/>
          <w:color w:val="000000"/>
          <w:sz w:val="24"/>
        </w:rPr>
        <w:tab/>
      </w:r>
      <w:r w:rsidR="00A4285B" w:rsidRPr="00E75B9D">
        <w:rPr>
          <w:rFonts w:ascii="Calibri" w:hAnsi="Calibri"/>
          <w:color w:val="000000"/>
          <w:sz w:val="24"/>
        </w:rPr>
        <w:tab/>
        <w:t xml:space="preserve">Guy W. Nicolette, M.D. </w:t>
      </w:r>
      <w:r w:rsidR="00A4285B" w:rsidRPr="00E75B9D">
        <w:rPr>
          <w:rFonts w:ascii="Calibri" w:hAnsi="Calibri"/>
          <w:color w:val="000000"/>
          <w:sz w:val="24"/>
        </w:rPr>
        <w:tab/>
      </w:r>
    </w:p>
    <w:p w:rsidR="0059571B" w:rsidRPr="00E75B9D" w:rsidRDefault="00A4285B" w:rsidP="00A4285B">
      <w:pPr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ab/>
      </w:r>
      <w:r w:rsidR="0059571B" w:rsidRPr="00E75B9D">
        <w:rPr>
          <w:rFonts w:ascii="Calibri" w:hAnsi="Calibri"/>
          <w:color w:val="000000"/>
          <w:sz w:val="24"/>
        </w:rPr>
        <w:t xml:space="preserve">Patrick J. Concannon, Ph.D. </w:t>
      </w:r>
      <w:r w:rsidR="0059571B" w:rsidRPr="00E75B9D">
        <w:rPr>
          <w:rFonts w:ascii="Calibri" w:hAnsi="Calibri"/>
          <w:color w:val="000000"/>
          <w:sz w:val="24"/>
        </w:rPr>
        <w:tab/>
      </w:r>
      <w:r w:rsidR="0059571B" w:rsidRPr="00E75B9D">
        <w:rPr>
          <w:rFonts w:ascii="Calibri" w:hAnsi="Calibri"/>
          <w:color w:val="000000"/>
          <w:sz w:val="24"/>
        </w:rPr>
        <w:tab/>
      </w:r>
      <w:r w:rsidRPr="00E75B9D">
        <w:rPr>
          <w:rFonts w:ascii="Calibri" w:hAnsi="Calibri"/>
          <w:color w:val="000000"/>
          <w:sz w:val="24"/>
        </w:rPr>
        <w:t>Donna M. Parker, M.D.</w:t>
      </w:r>
      <w:r w:rsidRPr="00E75B9D">
        <w:rPr>
          <w:rFonts w:ascii="Calibri" w:hAnsi="Calibri"/>
          <w:color w:val="000000"/>
          <w:sz w:val="24"/>
        </w:rPr>
        <w:tab/>
        <w:t xml:space="preserve">   </w:t>
      </w:r>
    </w:p>
    <w:p w:rsidR="0059571B" w:rsidRPr="00E75B9D" w:rsidRDefault="0059571B" w:rsidP="00E75B9D">
      <w:pPr>
        <w:ind w:firstLine="720"/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>Marvin A. Dewar, M.D., J.D.</w:t>
      </w:r>
      <w:r w:rsidRPr="00E75B9D">
        <w:rPr>
          <w:rFonts w:ascii="Calibri" w:hAnsi="Calibri"/>
          <w:color w:val="000000"/>
          <w:sz w:val="24"/>
        </w:rPr>
        <w:tab/>
        <w:t xml:space="preserve"> </w:t>
      </w:r>
      <w:r w:rsidRPr="00E75B9D">
        <w:rPr>
          <w:rFonts w:ascii="Calibri" w:hAnsi="Calibri"/>
          <w:color w:val="000000"/>
          <w:sz w:val="24"/>
        </w:rPr>
        <w:tab/>
      </w:r>
      <w:r w:rsidR="00A4285B" w:rsidRPr="00E75B9D">
        <w:rPr>
          <w:rFonts w:ascii="Calibri" w:hAnsi="Calibri"/>
          <w:color w:val="000000"/>
          <w:sz w:val="24"/>
        </w:rPr>
        <w:t xml:space="preserve">Stephen P. </w:t>
      </w:r>
      <w:proofErr w:type="spellStart"/>
      <w:r w:rsidR="00A4285B" w:rsidRPr="00E75B9D">
        <w:rPr>
          <w:rFonts w:ascii="Calibri" w:hAnsi="Calibri"/>
          <w:color w:val="000000"/>
          <w:sz w:val="24"/>
        </w:rPr>
        <w:t>Sugrue</w:t>
      </w:r>
      <w:proofErr w:type="spellEnd"/>
      <w:r w:rsidR="00A4285B" w:rsidRPr="00E75B9D">
        <w:rPr>
          <w:rFonts w:ascii="Calibri" w:hAnsi="Calibri"/>
          <w:color w:val="000000"/>
          <w:sz w:val="24"/>
        </w:rPr>
        <w:t xml:space="preserve">, </w:t>
      </w:r>
      <w:proofErr w:type="spellStart"/>
      <w:r w:rsidR="00A4285B" w:rsidRPr="00E75B9D">
        <w:rPr>
          <w:rFonts w:ascii="Calibri" w:hAnsi="Calibri"/>
          <w:color w:val="000000"/>
          <w:sz w:val="24"/>
        </w:rPr>
        <w:t>Ph.D</w:t>
      </w:r>
      <w:proofErr w:type="spellEnd"/>
    </w:p>
    <w:p w:rsidR="0059571B" w:rsidRPr="00E75B9D" w:rsidRDefault="0059571B" w:rsidP="00E75B9D">
      <w:pPr>
        <w:ind w:firstLine="720"/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 xml:space="preserve">Joseph C. </w:t>
      </w:r>
      <w:proofErr w:type="spellStart"/>
      <w:r w:rsidRPr="00E75B9D">
        <w:rPr>
          <w:rFonts w:ascii="Calibri" w:hAnsi="Calibri"/>
          <w:color w:val="000000"/>
          <w:sz w:val="24"/>
        </w:rPr>
        <w:t>Fantone</w:t>
      </w:r>
      <w:proofErr w:type="spellEnd"/>
      <w:r w:rsidRPr="00E75B9D">
        <w:rPr>
          <w:rFonts w:ascii="Calibri" w:hAnsi="Calibri"/>
          <w:color w:val="000000"/>
          <w:sz w:val="24"/>
        </w:rPr>
        <w:t>, M.D.</w:t>
      </w:r>
      <w:r w:rsidRPr="00E75B9D">
        <w:rPr>
          <w:rFonts w:ascii="Calibri" w:hAnsi="Calibri"/>
          <w:color w:val="000000"/>
          <w:sz w:val="24"/>
        </w:rPr>
        <w:tab/>
      </w:r>
      <w:r w:rsidRPr="00E75B9D">
        <w:rPr>
          <w:rFonts w:ascii="Calibri" w:hAnsi="Calibri"/>
          <w:color w:val="000000"/>
          <w:sz w:val="24"/>
        </w:rPr>
        <w:tab/>
        <w:t>Timothy C. Flynn, M.D.</w:t>
      </w:r>
      <w:r w:rsidRPr="00E75B9D">
        <w:rPr>
          <w:rFonts w:ascii="Calibri" w:hAnsi="Calibri"/>
          <w:color w:val="000000"/>
          <w:sz w:val="24"/>
        </w:rPr>
        <w:tab/>
      </w:r>
      <w:r w:rsidRPr="00E75B9D">
        <w:rPr>
          <w:rFonts w:ascii="Calibri" w:hAnsi="Calibri"/>
          <w:color w:val="000000"/>
          <w:sz w:val="24"/>
        </w:rPr>
        <w:tab/>
      </w:r>
      <w:r w:rsidR="00A4285B" w:rsidRPr="00E75B9D">
        <w:rPr>
          <w:rFonts w:ascii="Calibri" w:hAnsi="Calibri"/>
          <w:color w:val="000000"/>
          <w:sz w:val="24"/>
        </w:rPr>
        <w:t xml:space="preserve"> </w:t>
      </w:r>
    </w:p>
    <w:p w:rsidR="0059571B" w:rsidRPr="00E75B9D" w:rsidRDefault="0059571B" w:rsidP="004A2BDA">
      <w:pPr>
        <w:ind w:firstLine="720"/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 xml:space="preserve">Marian C. </w:t>
      </w:r>
      <w:proofErr w:type="spellStart"/>
      <w:r w:rsidRPr="00E75B9D">
        <w:rPr>
          <w:rFonts w:ascii="Calibri" w:hAnsi="Calibri"/>
          <w:color w:val="000000"/>
          <w:sz w:val="24"/>
        </w:rPr>
        <w:t>Limacher</w:t>
      </w:r>
      <w:proofErr w:type="spellEnd"/>
      <w:r w:rsidRPr="00E75B9D">
        <w:rPr>
          <w:rFonts w:ascii="Calibri" w:hAnsi="Calibri"/>
          <w:color w:val="000000"/>
          <w:sz w:val="24"/>
        </w:rPr>
        <w:t>, M.D.</w:t>
      </w:r>
      <w:r w:rsidRPr="00E75B9D">
        <w:rPr>
          <w:rFonts w:ascii="Calibri" w:hAnsi="Calibri"/>
          <w:color w:val="000000"/>
          <w:sz w:val="24"/>
        </w:rPr>
        <w:tab/>
      </w:r>
      <w:r w:rsidRPr="00E75B9D">
        <w:rPr>
          <w:rFonts w:ascii="Calibri" w:hAnsi="Calibri"/>
          <w:color w:val="000000"/>
          <w:sz w:val="24"/>
        </w:rPr>
        <w:tab/>
      </w:r>
      <w:r w:rsidR="004A2BDA">
        <w:rPr>
          <w:rFonts w:ascii="Calibri" w:hAnsi="Calibri"/>
          <w:color w:val="000000"/>
          <w:sz w:val="24"/>
        </w:rPr>
        <w:t>Jonathan Licht, M.D.</w:t>
      </w:r>
    </w:p>
    <w:p w:rsidR="004A2BDA" w:rsidRDefault="0059571B" w:rsidP="00E75B9D">
      <w:pPr>
        <w:ind w:left="720"/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 xml:space="preserve">David R. Nelson, M.D. </w:t>
      </w:r>
      <w:r w:rsidRPr="00E75B9D">
        <w:rPr>
          <w:rFonts w:ascii="Calibri" w:hAnsi="Calibri"/>
          <w:color w:val="000000"/>
          <w:sz w:val="24"/>
        </w:rPr>
        <w:tab/>
      </w:r>
      <w:r w:rsidRPr="00E75B9D">
        <w:rPr>
          <w:rFonts w:ascii="Calibri" w:hAnsi="Calibri"/>
          <w:color w:val="000000"/>
          <w:sz w:val="24"/>
        </w:rPr>
        <w:tab/>
      </w:r>
      <w:r w:rsidR="004A2BDA">
        <w:rPr>
          <w:rFonts w:ascii="Calibri" w:hAnsi="Calibri"/>
          <w:color w:val="000000"/>
          <w:sz w:val="24"/>
        </w:rPr>
        <w:t xml:space="preserve">Todd </w:t>
      </w:r>
      <w:proofErr w:type="spellStart"/>
      <w:r w:rsidR="004A2BDA">
        <w:rPr>
          <w:rFonts w:ascii="Calibri" w:hAnsi="Calibri"/>
          <w:color w:val="000000"/>
          <w:sz w:val="24"/>
        </w:rPr>
        <w:t>Golde</w:t>
      </w:r>
      <w:proofErr w:type="spellEnd"/>
      <w:r w:rsidR="004A2BDA">
        <w:rPr>
          <w:rFonts w:ascii="Calibri" w:hAnsi="Calibri"/>
          <w:color w:val="000000"/>
          <w:sz w:val="24"/>
        </w:rPr>
        <w:t>, M.D., Ph.D.</w:t>
      </w:r>
    </w:p>
    <w:p w:rsidR="0059571B" w:rsidRPr="00E75B9D" w:rsidRDefault="004A2BDA" w:rsidP="00E75B9D">
      <w:pPr>
        <w:ind w:left="72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Nelda Loper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 w:rsidR="00A4285B" w:rsidRPr="00E75B9D">
        <w:rPr>
          <w:rFonts w:ascii="Calibri" w:hAnsi="Calibri"/>
          <w:color w:val="000000"/>
          <w:sz w:val="24"/>
        </w:rPr>
        <w:t>Victoria J. Bordeaux</w:t>
      </w:r>
    </w:p>
    <w:p w:rsidR="00A70034" w:rsidRPr="00E75B9D" w:rsidRDefault="0059571B" w:rsidP="00A4285B">
      <w:pPr>
        <w:ind w:firstLine="720"/>
        <w:rPr>
          <w:rFonts w:ascii="Calibri" w:hAnsi="Calibri"/>
          <w:color w:val="000000"/>
          <w:sz w:val="24"/>
        </w:rPr>
      </w:pPr>
      <w:r w:rsidRPr="00E75B9D">
        <w:rPr>
          <w:rFonts w:ascii="Calibri" w:hAnsi="Calibri"/>
          <w:color w:val="000000"/>
          <w:sz w:val="24"/>
        </w:rPr>
        <w:tab/>
      </w:r>
      <w:r w:rsidR="009A6CBF" w:rsidRPr="00E75B9D">
        <w:rPr>
          <w:rFonts w:ascii="Calibri" w:hAnsi="Calibri"/>
          <w:color w:val="000000"/>
          <w:sz w:val="24"/>
        </w:rPr>
        <w:t xml:space="preserve"> </w:t>
      </w:r>
      <w:r w:rsidR="00A70034" w:rsidRPr="00E75B9D">
        <w:rPr>
          <w:rFonts w:ascii="Calibri" w:hAnsi="Calibri"/>
          <w:color w:val="000000"/>
          <w:sz w:val="24"/>
        </w:rPr>
        <w:t xml:space="preserve"> </w:t>
      </w:r>
    </w:p>
    <w:p w:rsidR="00A70034" w:rsidRPr="00E75B9D" w:rsidRDefault="00A70034" w:rsidP="00A70034">
      <w:pPr>
        <w:rPr>
          <w:rFonts w:ascii="Calibri" w:hAnsi="Calibri"/>
          <w:color w:val="000000"/>
          <w:sz w:val="24"/>
        </w:rPr>
      </w:pPr>
    </w:p>
    <w:p w:rsidR="00A70034" w:rsidRPr="00E75B9D" w:rsidRDefault="00A70034" w:rsidP="00A70034">
      <w:pPr>
        <w:rPr>
          <w:rFonts w:ascii="Calibri" w:hAnsi="Calibri"/>
          <w:color w:val="000000"/>
          <w:sz w:val="24"/>
        </w:rPr>
      </w:pPr>
    </w:p>
    <w:sectPr w:rsidR="00A70034" w:rsidRPr="00E75B9D" w:rsidSect="00DE0297">
      <w:headerReference w:type="default" r:id="rId9"/>
      <w:headerReference w:type="first" r:id="rId10"/>
      <w:footerReference w:type="first" r:id="rId11"/>
      <w:pgSz w:w="12240" w:h="15840" w:code="1"/>
      <w:pgMar w:top="1800" w:right="648" w:bottom="1440" w:left="180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58" w:rsidRDefault="009C2C58">
      <w:r>
        <w:separator/>
      </w:r>
    </w:p>
  </w:endnote>
  <w:endnote w:type="continuationSeparator" w:id="0">
    <w:p w:rsidR="009C2C58" w:rsidRDefault="009C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C4" w:rsidRDefault="004849C4">
    <w:pPr>
      <w:pStyle w:val="ThemeLine"/>
    </w:pPr>
    <w:r>
      <w:t>The Foundation for The Gator Nation</w:t>
    </w:r>
  </w:p>
  <w:p w:rsidR="004849C4" w:rsidRDefault="004849C4">
    <w:pPr>
      <w:pStyle w:val="Footer"/>
    </w:pPr>
    <w:r>
      <w:t>An Equal Opportunity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58" w:rsidRDefault="009C2C58">
      <w:r>
        <w:separator/>
      </w:r>
    </w:p>
  </w:footnote>
  <w:footnote w:type="continuationSeparator" w:id="0">
    <w:p w:rsidR="009C2C58" w:rsidRDefault="009C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C4" w:rsidRPr="00E742A1" w:rsidRDefault="00A4285B" w:rsidP="009C1425">
    <w:pPr>
      <w:rPr>
        <w:rFonts w:asciiTheme="minorHAnsi" w:hAnsiTheme="minorHAnsi"/>
        <w:sz w:val="24"/>
      </w:rPr>
    </w:pPr>
    <w:r w:rsidRPr="00E742A1">
      <w:rPr>
        <w:rFonts w:asciiTheme="minorHAnsi" w:hAnsiTheme="minorHAnsi"/>
        <w:sz w:val="24"/>
      </w:rPr>
      <w:t xml:space="preserve">Faculty Annual Evaluation Memorandum  </w:t>
    </w:r>
    <w:r w:rsidR="004849C4" w:rsidRPr="00E742A1">
      <w:rPr>
        <w:rFonts w:asciiTheme="minorHAnsi" w:hAnsiTheme="minorHAnsi"/>
        <w:sz w:val="24"/>
      </w:rPr>
      <w:t xml:space="preserve">     </w:t>
    </w:r>
  </w:p>
  <w:p w:rsidR="00DB26B5" w:rsidRPr="00E742A1" w:rsidRDefault="00DB26B5">
    <w:pPr>
      <w:pStyle w:val="Header"/>
      <w:rPr>
        <w:rFonts w:asciiTheme="minorHAnsi" w:hAnsiTheme="minorHAnsi"/>
        <w:sz w:val="24"/>
      </w:rPr>
    </w:pPr>
    <w:r w:rsidRPr="00E742A1">
      <w:rPr>
        <w:rFonts w:asciiTheme="minorHAnsi" w:hAnsiTheme="minorHAnsi"/>
        <w:sz w:val="24"/>
      </w:rPr>
      <w:fldChar w:fldCharType="begin"/>
    </w:r>
    <w:r w:rsidRPr="00E742A1">
      <w:rPr>
        <w:rFonts w:asciiTheme="minorHAnsi" w:hAnsiTheme="minorHAnsi"/>
        <w:sz w:val="24"/>
      </w:rPr>
      <w:instrText xml:space="preserve"> DATE \@ "MMMM d, yyyy" </w:instrText>
    </w:r>
    <w:r w:rsidRPr="00E742A1">
      <w:rPr>
        <w:rFonts w:asciiTheme="minorHAnsi" w:hAnsiTheme="minorHAnsi"/>
        <w:sz w:val="24"/>
      </w:rPr>
      <w:fldChar w:fldCharType="separate"/>
    </w:r>
    <w:r w:rsidR="00370C41">
      <w:rPr>
        <w:rFonts w:asciiTheme="minorHAnsi" w:hAnsiTheme="minorHAnsi"/>
        <w:noProof/>
        <w:sz w:val="24"/>
      </w:rPr>
      <w:t>June 30, 2016</w:t>
    </w:r>
    <w:r w:rsidRPr="00E742A1">
      <w:rPr>
        <w:rFonts w:asciiTheme="minorHAnsi" w:hAnsiTheme="minorHAnsi"/>
        <w:sz w:val="24"/>
      </w:rPr>
      <w:fldChar w:fldCharType="end"/>
    </w:r>
  </w:p>
  <w:p w:rsidR="004849C4" w:rsidRPr="00E742A1" w:rsidRDefault="00E742A1">
    <w:pPr>
      <w:pStyle w:val="Header"/>
      <w:rPr>
        <w:rStyle w:val="PageNumber"/>
        <w:rFonts w:asciiTheme="minorHAnsi" w:hAnsiTheme="minorHAnsi"/>
        <w:sz w:val="24"/>
      </w:rPr>
    </w:pPr>
    <w:r w:rsidRPr="00E742A1">
      <w:rPr>
        <w:rStyle w:val="PageNumber"/>
        <w:rFonts w:asciiTheme="minorHAnsi" w:hAnsiTheme="minorHAnsi"/>
        <w:sz w:val="24"/>
      </w:rPr>
      <w:t xml:space="preserve">Page </w:t>
    </w:r>
    <w:r w:rsidRPr="00E742A1">
      <w:rPr>
        <w:rStyle w:val="PageNumber"/>
        <w:rFonts w:asciiTheme="minorHAnsi" w:hAnsiTheme="minorHAnsi"/>
        <w:b/>
        <w:bCs/>
        <w:sz w:val="24"/>
      </w:rPr>
      <w:fldChar w:fldCharType="begin"/>
    </w:r>
    <w:r w:rsidRPr="00E742A1">
      <w:rPr>
        <w:rStyle w:val="PageNumber"/>
        <w:rFonts w:asciiTheme="minorHAnsi" w:hAnsiTheme="minorHAnsi"/>
        <w:b/>
        <w:bCs/>
        <w:sz w:val="24"/>
      </w:rPr>
      <w:instrText xml:space="preserve"> PAGE  \* Arabic  \* MERGEFORMAT </w:instrText>
    </w:r>
    <w:r w:rsidRPr="00E742A1">
      <w:rPr>
        <w:rStyle w:val="PageNumber"/>
        <w:rFonts w:asciiTheme="minorHAnsi" w:hAnsiTheme="minorHAnsi"/>
        <w:b/>
        <w:bCs/>
        <w:sz w:val="24"/>
      </w:rPr>
      <w:fldChar w:fldCharType="separate"/>
    </w:r>
    <w:r w:rsidR="007304D2">
      <w:rPr>
        <w:rStyle w:val="PageNumber"/>
        <w:rFonts w:asciiTheme="minorHAnsi" w:hAnsiTheme="minorHAnsi"/>
        <w:b/>
        <w:bCs/>
        <w:noProof/>
        <w:sz w:val="24"/>
      </w:rPr>
      <w:t>3</w:t>
    </w:r>
    <w:r w:rsidRPr="00E742A1">
      <w:rPr>
        <w:rStyle w:val="PageNumber"/>
        <w:rFonts w:asciiTheme="minorHAnsi" w:hAnsiTheme="minorHAnsi"/>
        <w:b/>
        <w:bCs/>
        <w:sz w:val="24"/>
      </w:rPr>
      <w:fldChar w:fldCharType="end"/>
    </w:r>
    <w:r w:rsidRPr="00E742A1">
      <w:rPr>
        <w:rStyle w:val="PageNumber"/>
        <w:rFonts w:asciiTheme="minorHAnsi" w:hAnsiTheme="minorHAnsi"/>
        <w:sz w:val="24"/>
      </w:rPr>
      <w:t xml:space="preserve"> of </w:t>
    </w:r>
    <w:r w:rsidRPr="00E742A1">
      <w:rPr>
        <w:rStyle w:val="PageNumber"/>
        <w:rFonts w:asciiTheme="minorHAnsi" w:hAnsiTheme="minorHAnsi"/>
        <w:b/>
        <w:bCs/>
        <w:sz w:val="24"/>
      </w:rPr>
      <w:fldChar w:fldCharType="begin"/>
    </w:r>
    <w:r w:rsidRPr="00E742A1">
      <w:rPr>
        <w:rStyle w:val="PageNumber"/>
        <w:rFonts w:asciiTheme="minorHAnsi" w:hAnsiTheme="minorHAnsi"/>
        <w:b/>
        <w:bCs/>
        <w:sz w:val="24"/>
      </w:rPr>
      <w:instrText xml:space="preserve"> NUMPAGES  \* Arabic  \* MERGEFORMAT </w:instrText>
    </w:r>
    <w:r w:rsidRPr="00E742A1">
      <w:rPr>
        <w:rStyle w:val="PageNumber"/>
        <w:rFonts w:asciiTheme="minorHAnsi" w:hAnsiTheme="minorHAnsi"/>
        <w:b/>
        <w:bCs/>
        <w:sz w:val="24"/>
      </w:rPr>
      <w:fldChar w:fldCharType="separate"/>
    </w:r>
    <w:r w:rsidR="007304D2">
      <w:rPr>
        <w:rStyle w:val="PageNumber"/>
        <w:rFonts w:asciiTheme="minorHAnsi" w:hAnsiTheme="minorHAnsi"/>
        <w:b/>
        <w:bCs/>
        <w:noProof/>
        <w:sz w:val="24"/>
      </w:rPr>
      <w:t>3</w:t>
    </w:r>
    <w:r w:rsidRPr="00E742A1">
      <w:rPr>
        <w:rStyle w:val="PageNumber"/>
        <w:rFonts w:asciiTheme="minorHAnsi" w:hAnsiTheme="minorHAnsi"/>
        <w:b/>
        <w:bCs/>
        <w:sz w:val="24"/>
      </w:rPr>
      <w:fldChar w:fldCharType="end"/>
    </w:r>
  </w:p>
  <w:p w:rsidR="004849C4" w:rsidRPr="00542AE4" w:rsidRDefault="004849C4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97" w:rsidRPr="00DE0297" w:rsidRDefault="00DE0297" w:rsidP="00DE029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  <w:r w:rsidRPr="00DE0297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255A3FC7" wp14:editId="124D768F">
          <wp:extent cx="2057400" cy="393700"/>
          <wp:effectExtent l="0" t="0" r="0" b="6350"/>
          <wp:docPr id="2" name="Picture 2" descr="UFsig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Fsig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297" w:rsidRPr="00DE0297" w:rsidRDefault="00DE0297" w:rsidP="00DE029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  <w:p w:rsidR="00DE0297" w:rsidRPr="00DE0297" w:rsidRDefault="00DE0297" w:rsidP="00DE0297">
    <w:pPr>
      <w:tabs>
        <w:tab w:val="center" w:pos="4680"/>
        <w:tab w:val="right" w:pos="9360"/>
      </w:tabs>
      <w:rPr>
        <w:rFonts w:eastAsiaTheme="minorHAnsi" w:cstheme="minorBidi"/>
        <w:color w:val="033F81"/>
        <w:szCs w:val="22"/>
      </w:rPr>
    </w:pPr>
    <w:r w:rsidRPr="00DE0297">
      <w:rPr>
        <w:rFonts w:eastAsiaTheme="minorHAnsi" w:cstheme="minorBidi"/>
        <w:b/>
        <w:color w:val="033F81"/>
        <w:szCs w:val="22"/>
      </w:rPr>
      <w:t>College of Medicine</w:t>
    </w:r>
    <w:r w:rsidRPr="00DE0297">
      <w:rPr>
        <w:rFonts w:eastAsiaTheme="minorHAnsi" w:cstheme="minorBidi"/>
        <w:b/>
        <w:color w:val="033F81"/>
        <w:szCs w:val="22"/>
      </w:rPr>
      <w:tab/>
    </w:r>
    <w:r w:rsidRPr="00DE0297">
      <w:rPr>
        <w:rFonts w:eastAsiaTheme="minorHAnsi" w:cstheme="minorBidi"/>
        <w:b/>
        <w:color w:val="033F81"/>
        <w:szCs w:val="22"/>
      </w:rPr>
      <w:tab/>
    </w:r>
    <w:r w:rsidRPr="00DE0297">
      <w:rPr>
        <w:rFonts w:eastAsiaTheme="minorHAnsi" w:cstheme="minorBidi"/>
        <w:color w:val="033F81"/>
        <w:szCs w:val="22"/>
      </w:rPr>
      <w:t>PO Box 103450</w:t>
    </w:r>
    <w:r w:rsidRPr="00DE0297">
      <w:rPr>
        <w:rFonts w:eastAsiaTheme="minorHAnsi" w:cstheme="minorBidi"/>
        <w:color w:val="033F81"/>
        <w:szCs w:val="22"/>
      </w:rPr>
      <w:br/>
      <w:t>Office of the Dean, Financial Services</w:t>
    </w:r>
    <w:r w:rsidRPr="00DE0297">
      <w:rPr>
        <w:rFonts w:eastAsiaTheme="minorHAnsi" w:cstheme="minorBidi"/>
        <w:color w:val="033F81"/>
        <w:szCs w:val="22"/>
      </w:rPr>
      <w:tab/>
    </w:r>
    <w:r w:rsidRPr="00DE0297">
      <w:rPr>
        <w:rFonts w:eastAsiaTheme="minorHAnsi" w:cstheme="minorBidi"/>
        <w:color w:val="033F81"/>
        <w:szCs w:val="22"/>
      </w:rPr>
      <w:tab/>
      <w:t>Gainesville, Florida 32610-3450</w:t>
    </w:r>
    <w:r w:rsidRPr="00DE0297">
      <w:rPr>
        <w:rFonts w:eastAsiaTheme="minorHAnsi" w:cstheme="minorBidi"/>
        <w:color w:val="033F81"/>
        <w:szCs w:val="22"/>
      </w:rPr>
      <w:br/>
      <w:t>1329 SW 16 Street, Room 4250</w:t>
    </w:r>
    <w:r w:rsidRPr="00DE0297">
      <w:rPr>
        <w:rFonts w:eastAsiaTheme="minorHAnsi" w:cstheme="minorBidi"/>
        <w:color w:val="033F81"/>
        <w:szCs w:val="22"/>
      </w:rPr>
      <w:tab/>
    </w:r>
    <w:r w:rsidRPr="00DE0297">
      <w:rPr>
        <w:rFonts w:eastAsiaTheme="minorHAnsi" w:cstheme="minorBidi"/>
        <w:color w:val="033F81"/>
        <w:szCs w:val="22"/>
      </w:rPr>
      <w:tab/>
      <w:t>352-265-8017 Phone</w:t>
    </w:r>
    <w:r w:rsidRPr="00DE0297">
      <w:rPr>
        <w:rFonts w:eastAsiaTheme="minorHAnsi" w:cstheme="minorBidi"/>
        <w:color w:val="033F81"/>
        <w:szCs w:val="22"/>
      </w:rPr>
      <w:br/>
    </w:r>
    <w:r w:rsidRPr="00DE0297">
      <w:rPr>
        <w:rFonts w:eastAsiaTheme="minorHAnsi" w:cstheme="minorBidi"/>
        <w:color w:val="033F81"/>
        <w:szCs w:val="22"/>
      </w:rPr>
      <w:tab/>
    </w:r>
    <w:r w:rsidRPr="00DE0297">
      <w:rPr>
        <w:rFonts w:eastAsiaTheme="minorHAnsi" w:cstheme="minorBidi"/>
        <w:color w:val="033F81"/>
        <w:szCs w:val="22"/>
      </w:rPr>
      <w:tab/>
      <w:t>352-265-8018 Fax</w:t>
    </w:r>
  </w:p>
  <w:p w:rsidR="00DE0297" w:rsidRDefault="00DE0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F75"/>
    <w:multiLevelType w:val="hybridMultilevel"/>
    <w:tmpl w:val="86061C60"/>
    <w:lvl w:ilvl="0" w:tplc="7E96C9CE">
      <w:start w:val="352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269E"/>
    <w:multiLevelType w:val="hybridMultilevel"/>
    <w:tmpl w:val="454A9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1658"/>
    <w:multiLevelType w:val="hybridMultilevel"/>
    <w:tmpl w:val="BAB09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3637"/>
    <w:multiLevelType w:val="hybridMultilevel"/>
    <w:tmpl w:val="4320B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14DD"/>
    <w:multiLevelType w:val="hybridMultilevel"/>
    <w:tmpl w:val="BF7C9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7AD"/>
    <w:multiLevelType w:val="hybridMultilevel"/>
    <w:tmpl w:val="3C108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8CD"/>
    <w:multiLevelType w:val="hybridMultilevel"/>
    <w:tmpl w:val="AD32E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70072"/>
    <w:multiLevelType w:val="hybridMultilevel"/>
    <w:tmpl w:val="8C947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4E03F5"/>
    <w:multiLevelType w:val="hybridMultilevel"/>
    <w:tmpl w:val="1EB21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F57BE"/>
    <w:multiLevelType w:val="hybridMultilevel"/>
    <w:tmpl w:val="DE54B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338B8"/>
    <w:multiLevelType w:val="hybridMultilevel"/>
    <w:tmpl w:val="FB209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46A85"/>
    <w:multiLevelType w:val="hybridMultilevel"/>
    <w:tmpl w:val="7200D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1C"/>
    <w:rsid w:val="00017A74"/>
    <w:rsid w:val="000662ED"/>
    <w:rsid w:val="00092D8A"/>
    <w:rsid w:val="000C26D6"/>
    <w:rsid w:val="000D406E"/>
    <w:rsid w:val="00152E61"/>
    <w:rsid w:val="001822C6"/>
    <w:rsid w:val="00183878"/>
    <w:rsid w:val="00192270"/>
    <w:rsid w:val="00195D07"/>
    <w:rsid w:val="00197EED"/>
    <w:rsid w:val="0021044C"/>
    <w:rsid w:val="0025501F"/>
    <w:rsid w:val="002A036D"/>
    <w:rsid w:val="002D5DC2"/>
    <w:rsid w:val="002F342A"/>
    <w:rsid w:val="00343279"/>
    <w:rsid w:val="00354E80"/>
    <w:rsid w:val="00370339"/>
    <w:rsid w:val="00370C41"/>
    <w:rsid w:val="003C46A6"/>
    <w:rsid w:val="003C6E9F"/>
    <w:rsid w:val="003D0CC8"/>
    <w:rsid w:val="003F018E"/>
    <w:rsid w:val="00426511"/>
    <w:rsid w:val="00452627"/>
    <w:rsid w:val="00457349"/>
    <w:rsid w:val="00473E9F"/>
    <w:rsid w:val="004849C4"/>
    <w:rsid w:val="00490EAD"/>
    <w:rsid w:val="004A2BDA"/>
    <w:rsid w:val="004A40D7"/>
    <w:rsid w:val="004C2581"/>
    <w:rsid w:val="004C481C"/>
    <w:rsid w:val="005133E1"/>
    <w:rsid w:val="00561EDF"/>
    <w:rsid w:val="0056618D"/>
    <w:rsid w:val="005870BD"/>
    <w:rsid w:val="0059571B"/>
    <w:rsid w:val="005A1BD9"/>
    <w:rsid w:val="005A5D49"/>
    <w:rsid w:val="005E378E"/>
    <w:rsid w:val="006A5D75"/>
    <w:rsid w:val="006E21C5"/>
    <w:rsid w:val="00704E6B"/>
    <w:rsid w:val="007304D2"/>
    <w:rsid w:val="007D122B"/>
    <w:rsid w:val="00807928"/>
    <w:rsid w:val="00822CD9"/>
    <w:rsid w:val="00853F2C"/>
    <w:rsid w:val="008D2193"/>
    <w:rsid w:val="00961EF7"/>
    <w:rsid w:val="0096672D"/>
    <w:rsid w:val="00971138"/>
    <w:rsid w:val="0097632D"/>
    <w:rsid w:val="009A6CBF"/>
    <w:rsid w:val="009C1425"/>
    <w:rsid w:val="009C2C58"/>
    <w:rsid w:val="009C7991"/>
    <w:rsid w:val="00A4285B"/>
    <w:rsid w:val="00A64CB9"/>
    <w:rsid w:val="00A70034"/>
    <w:rsid w:val="00B17C96"/>
    <w:rsid w:val="00B552F1"/>
    <w:rsid w:val="00B62C3C"/>
    <w:rsid w:val="00B743CC"/>
    <w:rsid w:val="00B87710"/>
    <w:rsid w:val="00BB5370"/>
    <w:rsid w:val="00C064C9"/>
    <w:rsid w:val="00C1524A"/>
    <w:rsid w:val="00C3097C"/>
    <w:rsid w:val="00C44443"/>
    <w:rsid w:val="00CD4E9B"/>
    <w:rsid w:val="00D23120"/>
    <w:rsid w:val="00D24892"/>
    <w:rsid w:val="00D517F8"/>
    <w:rsid w:val="00D536D8"/>
    <w:rsid w:val="00D845A5"/>
    <w:rsid w:val="00DA26E1"/>
    <w:rsid w:val="00DB26B5"/>
    <w:rsid w:val="00DB326B"/>
    <w:rsid w:val="00DC6C3F"/>
    <w:rsid w:val="00DD122C"/>
    <w:rsid w:val="00DE0297"/>
    <w:rsid w:val="00E14834"/>
    <w:rsid w:val="00E40907"/>
    <w:rsid w:val="00E51F8E"/>
    <w:rsid w:val="00E6545C"/>
    <w:rsid w:val="00E742A1"/>
    <w:rsid w:val="00E75B9D"/>
    <w:rsid w:val="00E80218"/>
    <w:rsid w:val="00EC3738"/>
    <w:rsid w:val="00EC5115"/>
    <w:rsid w:val="00EE5A43"/>
    <w:rsid w:val="00F07B1A"/>
    <w:rsid w:val="00F9770C"/>
    <w:rsid w:val="00FB16D7"/>
    <w:rsid w:val="00FB60F9"/>
    <w:rsid w:val="00FC7B18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4D4E33D8-8285-4877-9F94-471F2C7C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96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semiHidden/>
    <w:rsid w:val="00A867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42AE4"/>
  </w:style>
  <w:style w:type="character" w:styleId="Hyperlink">
    <w:name w:val="Hyperlink"/>
    <w:rsid w:val="009F12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ordeaux@uf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in32\templates\PHHP-DO-Frank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PHHP-DO-Frank-new.dot</Template>
  <TotalTime>67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creator>REller</dc:creator>
  <cp:lastModifiedBy>Loper, Nelda G</cp:lastModifiedBy>
  <cp:revision>16</cp:revision>
  <cp:lastPrinted>2015-07-01T12:46:00Z</cp:lastPrinted>
  <dcterms:created xsi:type="dcterms:W3CDTF">2016-06-14T20:44:00Z</dcterms:created>
  <dcterms:modified xsi:type="dcterms:W3CDTF">2016-06-30T14:10:00Z</dcterms:modified>
</cp:coreProperties>
</file>